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Ханты-Мансийского автономного округа – Югры от 20.03.2023, оставленным без изменения постановлением Восьмого арбитражного апелляционного суда от 19.06.2023 и постановлением Арбитражного суда Западно-Сибирского округа от 03.10.2023, в удовлетворении заявления отказано. В кассационной жалобе Журба Е.А. просит об отмене судебных актов, ссылаясь на несогласие с выводами об отсутствии нарушений при проведении торгов.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нарушений процедуры проведения торгов, продажу имущества по наибольшей предложенной цене, поэтому в силу статей 110, 111, 139, 213.25, 213.26 Федерального закона от 26.10.2002 № 127-ФЗ «О несостоятельности (банкротстве)», статьи 449 Гражданского кодекса Российской Федерации признали отсутствие оснований для недействительности торгов. Отличная от судебной оценка значимых обстоятельств реализации имущества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Журбе Евгению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