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31.03.2023 в удовлетворении иска отказано в связи с пропуском срока исковой давности. Тринадцатый арбитражный апелляционный суд постановлением от 03.07.2023 отменил решение от 31.03.2023 и удовлетворил иск в части взыскания 464 151 рубля 60 копеек неосновательного обогащения и 6 008 рублей 53 копеек процентов за пользование чужими денежными средствами. Арбитражный суд Северо-Западного округа постановлением от 17.10.2023 отменил постановление апелляционного суда от 03.07.2023 и оставил в силе решение от 31.03.2023. В кассационной жалобе общество «ОМ-ТЭК» просит об отмене постановления окружного судов, ссылаясь на игнорирование обстоятельств, установленных в ранее рассмотренном деле. 2 В силу части 1 статьи 291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указал, что общество «ОМ-ТЭК» не воспользовалось правом на привлечение в качестве ответчика участвовавшего в деле № А61-1109/2020 в статусе третьего лица общества «Спецтранс», поэтому довод о ставшем ему известным ответчике и необходимости исчисления срока исковой давности с момента вынесения решения по этому делу правомерно отклонен.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«ОМ-ТЭК»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