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«Ладога» (далее – Товарищество) обратилось в Арбитражный суд города Москвы с исковым заявлением о взыскании с государственного бюджетного учреждения г. Москвы «Жилищник района Восточное Дегунино» (далее – Учреждение) убытков, неосновательного обогащения, затрат, а также расходов на содержание общего имущества многоквартирного дома (далее – МКД). К участию в деле в качестве третьих лиц, не заявляющих самостоятельные требования относительно предмета спора, привлечены Единый информационно- расчетный центр района Восточное Дегунино, государственное казенное учреждение г. Москвы «Городской центр жилищных субсидий». Решением Арбитражного суда города Москвы от 20.04.2023, оставленным без изменения постановлением Девятого арбитражного апелляционного суда от 18.07.2023 и постановлением Арбитражного суда Московского округа от 19.10.2023,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2 В обоснование доводов жалобы заявитель указывает, что суды неправильно применили нормы процессуального права; неправомерно возложили на истца доказывание отрицательного факта, отмечая, что материалами дела подтверждено неоказание Учреждением услуг.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08.07.2019 между Товариществом (заказчик) и Учреждением (управляющая организация) заключен договор № ТСЖ/2-2/2019 управления МКД. В обоснование требований по настоящему иску, Товарищество ссылается на то, что ненадлежащим исполнением Учреждением обязательств по договору были причинены убытки в общей сумме 4 883 017 руб. 31 коп. (не взысканная задолженность собственников МКД – 1 796 714 руб. 02 коп., сумму субсидий по выпадающим доходам за льготные категории граждан (собственников жилья в МКД) – 2 176 732 руб. 08 коп., сумму корректировки платы за отопление за 2021 год - 909 571 руб. 17 коп.)). Также по требованию от 24.03.2022 № 141 о выплате 18 873 316 руб. 65 коп. истец в счет оплаты услуг по договору перечислил ответчику 13 990 299 руб. 34 коп. В судебном порядке управляющая организация взыскала в счет возмещения тех же затрат 5 345 069 руб. 53 коп. без учета судебных расходов. Платеж в сумме 462 052 руб. 66 коп. (платежное поручение от 03.06.2022 № 51) не был учтен Учреждением в счет оплаты услуг по договору и является переплатой за услуги ГВС и отопление за период с сентября 2019 года по декабрь 2021 года. Тем самым, по мнению истца, на стороне Учреждения образовалось неосновательное обогащение на сумму 462 052 руб. 66 коп. Кроме того, Учреждение на основании пункта 1 дополнительного соглашения от 08.07.2019 № 1 к договору оказания услуг от 08.07.2022 № ТСЖ/2-2/2019 обязано компенсировать затраты Товарищества за работы по обслуживанию и текущему ремонту общедомовых приборов учета теплоэнергии согласно счетам, выставляемым обслуживающей организацией. С января по сентябрь 2022 года Учреждение не компенсировало затраты Товарищества за работы по обслуживанию и текущему ремонту приборов учета согласно счетам (сумма задолженности составляет 27000 рублей). 3 С января 2022 года Учреждение не производит оплату жилищно- коммунальных услуг за кв. 142. Оплата осуществлялась за счет денежных средств Товарищества, что подтверждается авансовыми отчетами от 29.04.2022 и от 22.08.2022 о расходовании средств за период с февраля по август 2022 года в размере 43761 руб. 30 коп. С учетом банковской комиссии (1312 руб. 82 коп.) истцом за указанный выше период оплачено за жилищно-коммунальные услуги 45074 руб. 12 коп. Ссылаясь на то, что истец по настоящему делу понес убытки, а на стороне ответчика возникло неосновательное обогащение, Товарищество обратилось в арбитражный суд с настоящими требованиями. Исследовав и оценив по правилам статьи 71 АПК РФ представленные доказательства, приняв во внимание решение Арбитражного суда города Москвы от 18.07.2022 по делу № А40-93067/2022, которым установлен факт исполнения Учреждением обязательств по договору управления МКД, и учитывая наличие у Товарищества долга за коммунальные услуги, суды, руководствуясь статьями 15, 307, 309, 310, 393, 404, 1102, 1064 Гражданского кодекса Российской Федерации, разъяснениями, изложенными в постановлении Пленума Верховного СудаРоссийскойФедерацииот23.06.2015 № 25 «О применении судами некоторых положений раздела I части первой Гражданского кодекса Российской Федерации», отказали в удовлетворении требований, придя к выводу ,что факт ненадлежащего исполнения ответчиком договорных обязательств документально не подтвержден.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«Ладога»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