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виновности лица обсуждаться не может. Руководствуясь статьями 2916, 2918 Арбитражного процессуального 2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Тарасовой Татьяне Равильевне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