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15.06.2023, оставленным без изменения постановлением Одиннадцатого арбитражного апелляционного суда от 08.08.2023 и постановлением Арбитражного суда Поволжского округа от 31.10.2023, заявление удовлетворено. В кассационной жалобе Гаспарян Т.В. просит об отмене судебных актов, ссылаясь на неправильную оценку обстоятельств заключения оспариваемой сделки и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Совершение состоящими в родстве лицами сделки с имуществом в целях изменения его собственника во избежание обращения взыскания по имеющимся долгам суды в силу статьи 10 Гражданского кодекса Российской Федерации оценили в качестве злоупотребления правами с применением соответствующих последствий. Срок исковой давности, предусмотренный пунктом 1 статьи 181 Гражданского кодекса Российской Федерации, оспаривающим сделку финансовым управляющим признан не пропущенным.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Гаспарян Тамаре Владиславовне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