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07.03.2023 заявление кредитора признано обоснованным, в отношении должника введена процедура реструктуризации долгов, требования банка в размере 3 406 641 рубля 62 копеек основного долга, 7 144 428 рублей процентов, 9 721 215 рублей 22 копеек финансовых санкций, 32 000 рублей расходов на оплату госпошлины включены в третью очередь реестра как обеспеченные залогом имущества должника. Семнадцатый арбитражный апелляционный суд постановлением от 21.06.2023 отменил определение от 07.03.2023: признал заявление кредитора обоснованным, ввел в отношении должника процедуру реструктуризации долгов, требования банка в размере 3 406 641 рубля 62 копеек основного долга, 1 817 746 рублей 63 копеек процентов за пользование чужими денежными средствами, 1 864 084 рубля 24 копеек финансовых санкций, 32 000 рубля расходов на оплату госпошлины включил в третью очередь реестра как обеспеченные залогом имущества должника. 2 Арбитражный суд Уральского округа постановлением от 22.09.2023 постановление апелляционного суда 21.06.2023 оставил без изменения. В кассационной жалобе банк просит об отмене судебных актов апелляционного и окружного судов, ссылаясь на неправильное 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соответствии со статьями 71, 100 Федерального закона от 26.10.2002 № 127-ФЗ «О несостоятельности (банкротстве)» признал требование банка в части основного долга обоснованным в силу подтвержденности его решением суда общей юрисдикции о взыскании с должника задолженности по договору поручительства, а в части процентов и финансовых санкций – заявленным без учета срока исковой давности и действия моратория. Доводы о перерыве течения срока исковой давности получили правовую оценку апелляционного и окружного судов.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«Российский промышленный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