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21.04.2023, оставленным без изменения постановлением Семнадцатого арбитражного апелляционного суда от 21.06.2023 и постановлением Арбитражного суда Уральского округа от 06.10.2023, Положение утверждено в редакции финансового управляющего, предусмотрена продажа имущества только посредством публичного предложения, исключено право финансового управляющего размещать объявление о торгах в платных источниках за счет конкурсной массы, установлен размер задатка, утверждена начальная продажная цена. В кассационной жалобе банк просит об отмене судебных актов в неразрешенной части разногласий, ссылаясь на невозможность возложения на конкурсную массу последствий управленческих решений управляющего.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Способы защиты от последствий неправомерных действий финансового управляющего разъяснены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Интеза»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