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17.01.2024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Заявитель являлся инициатором кассационного обжалования в суде округа, судебный акт своевременно размещен в информационной базе «Картотека арбитражных дел» сети Интернет и с этого момента был доступен для ознакомления и подготовки жалобы. При этом в соответствии с частями 1 и 6 статьи 2913 Арбитражного процессуального кодекса Российской Федерации, заявитель имел возможность своевременно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184,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Фастовца Александра Андреевича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