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21.04.2023, оставленным без изменения постановлением Девятого арбитражного апелляционного суда от 18.07.2023 и постановлением Арбитражного суда Московского округа от 04.10.2023, заявление удовлетворено. В кассационной жалобе банк просит об отмене судебных актов, ссылаясь на неисследование судами фактической аффилированности сторон договора займа и наличия условий для применения статьи 10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представленные в подтверждение наличия обязательства должника перед кредитором доказательства и признали их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оценки поведения сторон и доказательств, на которых основаны доводы жалобы, разрешены судами в пределах компетенции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«Национальный банк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