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15.02.2023, оставленным без изменения постановлением Восемнадцатого арбитражного апелляционного суда от 24.07.2023 и постановлением Арбитражного суда Уральского округа от 17.10.2023, в удовлетворении заявления отказано. В кассационной жалобе ФИО1 просит об отмене судебных актов, ссылаясь на неосновательное применение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статьей 69 Арбитражного процессуального кодекса Российской Федерации и исследованными обстоятельствами дарения, установили невозможность включения подаренного имущества в конкурсную массу в связи с попаданием его под действие статьи 446 Гражданского процессуального кодекса Российской Федерации и отсутствием оснований для ограничения или снятия исполнительского иммунитета.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