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14.04.2023, оставленным без изменения постановлением Восемнадцатого арбитражного апелляционного суда от 19.07.2023 и постановлением Арбитражного суда Уральского округа от 20.09.2023, заявление кредитора признано обоснованным, в отношении должника введена процедура реструктуризации долгов, требование кредитора в размере 4 691 883 рублей 31 копейки включено в третью очередь реестра, утвержден финансовый управляющий. В кассационной жалобе ФИО1 просит об отмене судебных актов, ссылаясь на несогласие на процедуру банкротства и планы погашения задолженности при поступлении дохода.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заявления, наличии и размере подлежащей включению в реестр задолженности основаны на представленных доказательствах и соответствуют статьям 213.2, 213.3, 213.5, 213.6, 213.13 Федерального закона от 26.10.2002 № 127-ФЗ «О несостоятельности (банкротстве)». Изложенные в жалобе доводы не влияют на результат рассмотрения заявления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