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21.04.2023, оставленным без изменения постановлением Пятнадцатого арбитражного апелляционного суда от 08.06.2023 и постановлением Арбитражного суда Северо-Казказского округа от 04.10.2023, в удовлетворении заявления отказано. В кассационной жалобе Лотникова Г.К. просит об отмене судебных актов, ссылаясь на причинение убытков совместными согласованными действиями супругов.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недоказанным расходования на семейные нужды полученных от кредитора должником денежных средств, взысканных судом в качестве возмещения вреда, причиненного виновными действиями должника. Требуемая переоценка установленных судами обязательств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Лотниковой Галине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