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Орловской области от 03.04.2023 исковое заявление общества оставлено без рассмотрения в связи с несоблюдением претензионного порядка урегулирования спора. Постановлением Девятнадцатого арбитражного апелляционного суда от 16.06.2023, оставленным без изменения постановлением Арбитражного суда Центрального округа от 22.09.2023, определение суда отменено, дело направлено в суд первой инстанции для рассмотрения по существу. В кассационной жалобе предприниматель просит о пересмотре судебных актов апелляционного и окружного судов, ссылаясь на неосновательную отмену определения суда первой инстанции.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Апелляционный суд установил противоречие вывода суда первой инстанции о несоблюдении претензионного порядка урегулирования спора имеющимся в деле доказательствам, поэтому принял постановление в пределах полномочий, предусмотренных статьями 270 , 272 Арбитражного процессуального кодекса Российской Федерации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