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27.04.2023 в удовлетворении заявления отказано. Постановлением Пятнадцатого арбитражного апелляционного суда от 30.06.2023, оставленным без изменения постановлением Арбитражного суда Северо-Кавказского округа от 29.09.2023, определение суда первой инстанции отменено: признан недействительным договор купли-продажи от 27.02.2020, применены последствия недействительности сделки в виде возврата имущества в конкурсную массу должника. В кассационной жалобе ФИО1 просит об отмене постановлений судов апелляционной и кассационной инстанций, ссылаясь на неправильную оценку обстоятельств совершения сделки, отсутствие нарушения прав залогодержателя автомобиля.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апелляционной инстанции установил продажу должником заинтересованному лицу транспортного средства при недоказанности равноценного встречного предоставления, направленную на недопущение обращения взыскания по имеющимся долгам и создающую в силу пункта 2 статьи 61.2 Федерального закона от 26.10.2002 № 127-ФЗ «О несостоятельности (банкротстве)» условия для недействительности договора. Требуемая переоценка установленных обстоятельств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