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Иркутской области от 04.04.2023, оставленным без изменения постановлением Четвертого арбитражного апелляционного суда от 14.06.2023 и постановлением Арбитражного суда Восточно-Сибирского округа от 20.09.2023, в удовлетворении заявления отказано. В кассационной жалобе ФИО1 просит об отмене судебных актов, ссылаясь на неверные выводы о равноценности раздела имущества должника и его супруги, неосновательность признания преюдиции решения суда общей юрисдикции.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отсутствие условий для взыскания убытков в силу статей 15 , 1064 Гражданского кодекса Российской Федерации. Иные оценка кредитором фактических обстоятельств спора и толкование норм материального права не создают оснований для пересмотра судебных актов Верховным Судом Российской Федерации в кассационном порядке.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ФИО2 Суд: Верховный Суд РФ (подробнее) Судьи дела: Ксенофонтова 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