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06.07.2023, оставленным без изменения постановлением Пятого арбитражного апелляционного суда от 30.08.2023 и постановлением Арбитражного суда Дальневосточного округа от 08.11.2023, в удовлетворении заявления отказано. В кассационной жалобе Трофимов В.А. просит об отмене судебных актов, указывая на неправильную оценку оснований прекращения дарения.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Доводы, приведенные в кассационной жалобе, являлись предметом рассмотрения судов как в ранее рассмотренных в деле о банкротстве должника инициированных заявителем спорах, так и в настоящем споре и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