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11.04.2023, оставленным без изменения постановлением Девятого арбитражного апелляционного суда от 11.07.2023 и постановлением Арбитражного суда Московского округа от 27.09.2023, Положение утверждено в редакции Рогозы И.В.. В кассационной жалобе Рогоза И.В. просит об отмене судебных актов в части, выражая несогласие с выводами мотивировочной части определения суда первой инстанции.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соответствуют разъяснениям постановления Пленума Верховного Суда РФ от 25.12.2018 № 48 «О некоторых вопросах, связанных с особенностями формирования и распределения конкурсной массы в делах о банкротстве граждан», статьям 110, 111, 112, 139, пункту 7 статьи 213.26 Федерального закона от 26.10.2002 № 127-ФЗ «О несостоятельности (банкротстве)», статьям 34, 36 Семейного кодекса Российской Федерации и их судебному толкованию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Рогозе Игорю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