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02.05.2023, оставленным без изменения постановлением Девятого арбитражного апелляционного суда от 13.07.2023 и постановлением Арбитражного суда Московского округа от 03.10.2023, неустойка уменьшена и включена в третью очередь реестра. В кассационной жалобе Савин А.А. просит об отмене судебных актов, ссылаясь на отсутствие оценки контррасчета неустойки, неприменение мораториев на возбуждение дел о банкротстве и «ковидного», взыскание неустойки в отсутствие убытков у кредитора.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возражения должника, связанные с размером неустойки, и дали оценку тем из них, которые в силу закона влияют на применение и объем ответственности за нарушение обязательства. Аналогичные возражениям доводы жалобы не создают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Савину Алексею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