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новом рассмотрении заявления по вопросам включения в конкурсную массу имущества бывшей супруги должника и подачи заявлений о пересмотре судебных актов по вновь открывшимся обстоятельствам Арбитражный суд города Москвы определением от 11.04.2023, оставленным без изменения постановлением Девятого арбитражного апелляционного суда от 12.07.2023 и постановлением Арбитражного суда Московского округа от 27.09.2023, отклонил жалобу кредитора. В кассационной жалобе Рогоза И.В. просит об отмене судебных актов, ссылаясь на игнорирование пассивности управляющего. В силу части 1 статьи 291.11 Арбитражного процессуального кодекса Российской Федерации основаниями для отмены ил 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Отличная от судебной оценка действий управляющего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Рогозе Игорю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