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03.04.2023, оставленным без изменения постановлением Девятнадцатого арбитражного апелляционного суда от 15.06.2023 и постановлением Арбитражного суда Центрального округа от 12.09.2023, заявление удовлетворено частично: из конкурсной массы исключена квартира. В кассационной жалобе ФИО1 просит об отмене судебных актов в части отказа в исключении земельных участков, ссылаясь на неосновательное включение личного имущества гражданина в конкурсную массу.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использование земельных участков должником как единственным участником крестьянского (фермерского) хозяйства в предпринимательских целях, поэтому в силу статьи 221 Федерального закона от 26.10.2002 № 127-ФЗ «О несостоятельности (банкротстве)» признали его подлежащим реализации в целях соразмерного удовлетворения требований кредиторов. Иное определение должником статуса имущества не создает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ФИО1 в передаче заявления для рассмотрения в судебном заседании Судебной коллегии по экономическим спорам Верховного Суда Российской Федерации. Судья Верховного Суда а Российской Федерации ФИО2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