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новом рассмотрении заявления по вопросам включения в конкурсную массу имущества бывшей супруги должника и подачи заявлений о пересмотре судебных актов по вновь открывшимся обстоятельствам Арбитражный суд города Москвы определением от 11.04.2023, оставленным без изменения постановлением Девятого арбитражного апелляционного суда от 12.07.2023 и постановлением Арбитражного суда Московского округа от 27.09.2023, отклонил жалобу кредитора. В кассационной жалобе ФИО1 просит об отмене судебных актов, ссылаясь на игнорирование пассивности управляющего. В силу части 1 статьи 291.11 Арбитражного процессуального кодекса Российской Федерации основаниями для отмены ил 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Отличная от судебной оценка действий управляющего не создает оснований для пересмотра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