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26.04.2023, оставленным без изменения постановлением Седьмого арбитражного апелляционного суда от 18.07.2023 и постановлением Арбитражного суда Западно-Сибирского округа от 02.11.2023, в удовлетворении заявленных требований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пересмотреть указанные судебные акты в кассационном порядке.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Таких оснований по результатам изучения состоявшихся по делу судебных актов и доводов кассационной жалобы не установлено. Отказывая в удовлетворении заявленных требований и подтверждая правильность этого вывода, суды, исследовав и оценив представленные в материалы дела доказательства по правилам статьи 71 Арбитражного процессуального кодекса Российской Федерации, руководствуясь статьями 198, 200, 201 названного Кодекса, положениями Федерального закона от 08.08.2001 № 129-ФЗ «О государственной регистрации юридических лиц и индивидуальных предпринимателей» (далее - Закон № 129-ФЗ), пришли к выводу отсутствии нарушений норм действующего законодательства при исключении компании из Единого государственного реестра юридических лиц (далее - ЕГРЮЛ). При этом суды исходили из того, что на момент принятия инспекцией решения об исключении из ЕГРЮЛ компания отвечала критериям недействующего юридического лица; информация о предстоящем исключении компании опубликована в установленном порядке, однако в предусмотренный срок ни от компании, ни от заинтересованных лиц возражений относительно исключения названного юридического лица из ЕГРЮЛ в инспекцию не поступило. Изложенные в кассационной жалобе доводы были предметом рассмотрения судов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 для рассмотрения в судебном заседании Судебной коллегии Верховного Суда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общества с ограниченной ответственностью «Сервис»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Н.С. Чучунова Суд: Верховный Суд РФ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