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Тульской области от 11.04.2023, оставленным без изменения постановлением Двадцатого арбитражного апелляционного суда от 14.06.2023 и постановлением Арбитражного суда Центрального округа от 05.10.2023, заявление признано обоснованным, в отношении Копыловой О.С. введена реструктуризация долгов гражданина, утвержден финансовый управляющий. В кассационной жалобе ФИО1 просит об отмене судебных актов, ссылаясь на игнорирование недобросовестности должника, подачу заявления в целях инициирования фиктивного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отвечает признакам неплатежеспособности (банкротства), что в силу статей 213.4, 213.6 Федерального закона от 26.10.2002 № 127-ФЗ «О несостоятельности (банкротстве)» влечет примененные судами последствия. Приведенные в жалобе доводы рассмотрены и учтены судами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