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и подтверждая правильность этого вывода, суды,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15 , 1064 Гражданского кодекса Российской Федерации, исходили из недоказанности истцом совокупности условий, необходимых для привлечения ответчиков к ответственности в виде взыскания убытков. Приведенные в кассационной жалобе доводы не опровергают выводы судов, направлены на переоценку установленных по делу обстоятельств, не подтверждают существенных нарушений судами норм материального и (или)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