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права, просит пересмотреть указанные судебные акты в кассационном порядке.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Разрешая спор и отказывая в удовлетворении иска, суды руководствовались статьями 196 , 197 , 199 , 200 , 725 , 779 , 781 , 783 Гражданского кодекса Российской Федерации и исходили из пропуска истцом срока исковой давности, о чем было заявлено ответчиком.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«Риквэст-Сервис»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