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12.01.2024 обратился в Верховный Суд Российской Федерации с жалобой на определение судьи Верховного Суда Российской Федерации от 12.12.2023 № 305-ЭС23-25519, постановление Девятого арбитражного апелляционного суда от 02.06.2023 и постановление Арбитражного суда Московского округа от 08.09.2023 по делу № А40-32067/2021 Арбитражного суда города Москвы,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«ПромГражданПроект»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