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Арбитражного суда Московского округа от 01.11.2023 отменены определение Арбитражного суда Московской области от 20.03.2023 и постановление Десятого арбитражного апелляционного суда от 04.07.2023, спор направлен на новое рассмотрение в суд первой инстанции. В кассационных жалобах Ларина Е.В. просит отменить постановление окружного суда как незаконное.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 не усматривается. Суд кассационной инстанции, признав необходимость нового рассмотрения спора для установления не исследованных судом нижестоящей инстанции значимых обстоятельств, действовал в пределах полномочий, предоставленных статьями 286 - 288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Лариной Елене Владимировне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