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Тринадцатого арбитражного апелляционного суда от 11.09.2023, оставленным без изменения постановлением Арбитражного суда Северо-Западного округа от 19.10.2023, апелляционная жалоба Гришкова В.Е. на определение Арбитражного суда города Санкт-Петербурга и Ленинградской области от 07.07.2023 возвращена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срока. В кассационной жалобе Гришков В.Е. просит о пересмотре судебных актов как незаконных и необоснованных. Кассационная жалоба в части обжалования определения Арбитражного города Санкт-Петербурга и Ленинградской области от 07.07.2023 подана с нарушением подсудности, установленной частью 2 статьи 291.1 Арбитражного процессуального кодекса Российской Федерации, поэтому в силу пункта 5 части 1 статьи 291.5 этого Кодекса в указанной части не подлежит рассмотрению по существу.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Рассмотрев ходатайство о восстановлении срока подачи апелляционной жалобы, апелляционный суд установил отсутствие у заявителя объективных препятствий для обращения с жалобой в отведенный законом срок.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Гришкову Виталию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