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02.05.2023, оставленным без изменения постановлением Семнадцатого арбитражного апелляционного суда от 07.08.2023 и постановлением Арбитражного суда Уральского округа от 23.10.2023, с общества «Элисан Авто» взыскано 7 403 806 рублей убытков, в удовлетворении требования в остальной части и в иске к остальным ответчикам отказано. В кассационной жалобе общество «Элисан Авто» просит об отмене судебных актов, указывая, что не является обязанным по отношению к истцу лицом.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«Элисан Авто» являлось организатором перевозки, в процессе которой утрачен груз, и не доказало, что по условиям обязательства не несет ответственности за его сохранность, поэтому в силу статей 15, 393, 796 Гражданского кодекса Российской Федерации обязали его к возмещению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«Элисан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