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27.04.2023, оставленным без изменения постановлением Девятого арбитражного апелляционного суда от 13.07.2023 и постановлением Арбитражного суда Московского округа от 25.09.2023, заявление удовлетворено. В кассационной жалобе Дитюк А.И. просит об отмене судебных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установили состоявшийся переход прав от первоначального кредитора к новому, поэтому произвели замену в соответствии со статьей 48 Арбитражного процессуального кодекса Российской Федерации и статьями 382 Гражданского кодекса Российской Федерации и их судебным толкованием. Доводы кассационной жалобы не подтверждают нарушения норм права и не составляют оснований для пересмотра обжалуемых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Дитюку Александру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