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суда округа с учетом установленных обстоятельств дела соответствуют правовой позиции Судебной коллегии по экономическим спорам Верховного Суда Российской Федерации, изложенной в определениях от 06.06.2022 № 305-ЭС22-763 и от 26.04.2022 № 309-ЭС21-27706.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