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10.04.2023, оставленным без изменения постановлением Девятого арбитражного апелляционного суда от 05.06.2023 и постановлением Арбитражного суда Московского округа от 20.09.2023, в удовлетворении заявления отказано. В кассационной жалобе Коротаева И.В. просит об отмене судебных актов, ссылаясь на неправомерное признание обращения за юридической помощью злоупотреблением правом.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установили, что в споре, в связи с которым должник понес расходы, банк участвует в статусе заинтересованного лица и не является стороной, противостоящей позиции должника, у которого не было необходимости обращения за юридической помощью в связи с наличием в конкурсной массе денежных средств, оставшихся после удовлетворения требования банка и причитающихся должнику в силу статьи 446 Гражданского процессуального кодекса Российской Федерации, поэтому отказали в возмещении судебных расходов в силу статей 101, 106, 110 Арбитражного процессуального кодекса Российской, постановления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 и обстоятельств спора.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Коротаевой Ирине Владиславовне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