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15.03.2023, оставленным без изменения постановлением Второго арбитражного апелляционного суда от 07.06.2023 и постановлением Арбитражного суда Волго-Вятского округа от 20.09.2023,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Коротков Ю.И.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Короткову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