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10.05.2023, оставленным без изменения постановлением Семнадцатого арбитражного апелляционного суда от 13.07.2023 и постановлением Арбитражного суда Уральского округа от 18.09.2023, заявление признано обоснованным, в отношении должника введена процедура реструктуризации долгов, утвержден финансовый управляющий, требование кредитора включено в третью очередь реестра. В кассационной жалобе Демидов С.И. просит об отмене судебных актов, ссылаясь на возможные иные способы погашения долга перед заявителем.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 наличии подтвержденных обязательств должника право заявителя на получение исполнения посредством инициирования процедуры банкротства соответствует статьям 4, 33, 213.3, 213.5, 213.6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Демидову Сергею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