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04.08.2023, оставленным без изменения постановлением Девятого арбитражного апелляционного суда от 19.09.2023 и постановлением Арбитражного суда Московского округа от 14.11.2023, процедура реализации имущества гражданина завершена, должник освобожден от дальнейшего исполнения требований кредиторов, в том числе требований, не заявленных при введении процедур реструктуризации долгов или реализации имущества гражданина. В кассационной жалобе общество «Феникс» просит об отмене судебных актов в части освобождения от исполнения обязательств перед АО «Тинькофф Банк»,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