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10.03.2023, оставленным без изменения постановлением Одиннадцатого арбитражного апелляционного суда от 26.06.2023 и постановлением Арбитражного суда Поволжского округа от 12.09.2023, заявление удовлетворено. В кассационных жалобах Черноусовы Л.В. и Д.В. просят об отмене судебных актов, ссылаясь на ненадлежащее исследование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отчуждение должником транспортного средства в пользу заинтересованного лица (сына) при недоказанности равноценного встречного предоставления, направленное на недопущение обращения взыскания по имеющимся долгам и создающее в силу пункта 2 статьи 61.2 Федерального закона от 26.10.2002 № 127-ФЗ «О несостоятельности (банкротстве)» условия для недействительности договора. Вопросы доказывания и оценки доказательств, на которых основаны доводы жалоб,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Черноусову Дмитрию Валерьевичу, Черноусовой Лидии Васильевне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