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Восьмого арбитражного апелляционного суда от 22.06.2023, оставленным без изменения постановлением Арбитражного суда Западно-Сибирского округа от 12.09.2023, производство по апелляционной жалобе Саенко А.В. на определение Арбитражного суда Ханты-Мансийского автономного округа – Югры от 21.11.2019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обжалование. В кассационной жалобе Саенко А.В. просит отменить судебные акты, принятые в отношении апелляционной жалобы, ссылаясь на объективную причину пропуска срока на обжалование.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Ходатайство заявителя о восстановлении срока подачи апелляционной жалобы рассмотрено применительно к обозначенным причинам в соответствии с компетенцией суда, выводы которого об оценке таких причин не подлежат пересмотру в кассационном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Саенко Антону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