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Восьмого арбитражного апелляционного суда от 22.06.2023, оставленным без изменения постановлением Арбитражного суда Западно- Сибирского округа от 12.09.2023, производство по апелляционной жалобе Саенко А.В. на определение Арбитражного суда Ханты-Мансийского автономного округа – Югры от 20.09.2019 прекращено применительно к пункту 1 части 1 статьи 150 Арбитражного процессуального кодекса Российской Федерации в связи с отказом в восстановлении срока на обжалование. В кассационной жалобе Саенко А.В. просит отменить судебные акты, принятые в отношении апелляционной жалобы, ссылаясь на объективную причину пропуска срока на обжалование.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Ходатайство заявителя о восстановлении срока подачи апелляционной жалобы рассмотрено применительно к обозначенным причинам в соответствии с компетенцией суда, выводы которого об оценке таких причин не подлежат пересмотру в кассационном порядке.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Саенко Антону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