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09.11.2022 (с учетом определения от 01.03.2023 об исправлении опечатки), оставленными без изменения постановлениями Девятого арбитражного апелляционного суда от 17.03.2023 и от 15.06.2023, и постановлением Арбитражного суда Московского округа от 20.09.2023, требование в размере 52 838 166 рублей 67 копеек включено в третью очередь реестра, требование в размере 59 272 785 рублей 69 копеек назначено к рассмотрению в следующую за процедурой реструктуризации долгов гражданина процедуру банкротства должника. В кассационной жалобе Агамирзаев А.А. просит об отмене судебных актов, ссылаясь на отсутствие у должника задолженности перед заявителем, наименование которого неосновательно исправлено как опечатка.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Требование кредитора, подтвержденное судебным актом суда общей юрисдикции, признано отвечающим критериям статей 71, 100 Федерального закона от 26.10.2002 № 127-ФЗ «О несостоятельности (банкротстве)». Довод об исправлении судом в противоречие со статьей 179 Арбитражного процессуального кодекса Российской Федерации опечатки в документах заявителя, а не в судебном акте неоснователен.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Агамирзаеву Адлану Абдуловичу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