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Дальневосточного округа от 12.04.2022, оставленным без изменения определением того же суда от 31.05.2022, должнику отказано в удовлетворении ходатайства о восстановлении срока подачи кассационной жалобы на решение Арбитражного суда Приморского края от 05.10.2021 и постановление Пятого арбитражного апелляционного суда от 28.12.2021, жалоба возвращена. В кассационной жалобе ФИО1 просит отменить судебные акты о возвращении жалобы, ссылаясь на неосновательную оценку причины пропуска срока на обжалование.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Пересмотр компетенции суда на оценку причины пропуска срока не попадает под названные основания.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ПАО КОММЕРЧЕСКИЙ БАНК "САММИТ БАНК" (подробнее) Иные лица: УВМ УМВД по ПК (подробнее) Управление Пенсионного фонда РФ по Ленинскому району г.Владивостока (подробнее) ФНС России Управление по Приморскому краю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