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09.03.2023 договор признан недействительным, применены последствия недействительности в виде возврата в конкурсную массу автомобиля. Постановлением Седьмого арбитражного апелляционного суда от 22.05.2023, оставленным без изменения постановлением Арбитражного суда Западно-Сибирского округа от 28.09.2023, определение от 09.03.2023 отменено в части применения последствий: с Константинова Н.Н. в конкурсную массу должника взыскано 1 350 000 рублей. В кассационной жалобе Константинов Н.Н. просит об отмене судебных актов, ссылаясь на неправильную оценку обстоятельств совершения сделки и представленных доказательств, произвольное определение стоимости автомобиля.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Отчуждение должником автомобиля в пользу заинтересованного лица после возбуждения дела о банкротстве и без встречного предоставления признано судами создающим условия для недействительности сделки в силу пункта 2 статьи 61.2 Федерального закона от 26.10.2002 № 127ФЗ «О несостоятельности (банкротстве)». Источник определения подлежащей взысканию в конкурсную массу стоимости автомобиля судами указан.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Константинову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