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01.02.2023 разногласия разрешены: денежные средства, возвращенные в конкурсную массу по итогу оспаривания сделок и реализации имущества должника, подлежат включению в конкурсную массу в полном объеме. Тринадцатый арбитражный апелляционный суд постановлением от 08.06.2023 отменил определение от 01.02.2023, установив включение возвращенных в конкурсную массу по результатам оспаривания сделок должника денежных средств в размере ½ доли с выделом бывшей супруге должника супружеской доли. Арбитражный суд Северо-Западного округа постановлением от 12.09.2023 отменил постановление апелляционного суда от 08.06.2023 и оставил в силе определение от 01.02.2023. В кассационной жалобе Ханинева В.А. просит об отмене судебных актов первого и окружного судов, ссылаясь на отсутствие законных препятствий для выплаты супружеской доли.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Сделки по отчуждению долей в уставных капиталах коммерческих обществ, повлекшие значительные потери для конкурсной массы и причинение вреда имущественным интересам кредиторов, совершены должником с согласия бывшей супруги, в связи с чем отказ судов первой инстанции и округа в защите ее прав на супружескую долю компетентно основан на статье 10 Гражданского кодекса Российской Федерации. Иные оценка обстоятельств спора и толкование норм материального права заявителем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Ханиневой Виктории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