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03.08.2023, оставленным без изменения постановлением Двенадцатого арбитражного апелляционного суда от 31.08.2023 и постановлением Арбитражного суда Поволжского округа от 27.10.2023, предпринимателю отказано в восстановлении срока на подачу заявления, заявление возвращено. В кассационной жалобе предприниматель просит о пересмотре судебных актов, ссылаясь на неправильное исчисление процессуального срока.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установил пропуск предпринимателем предельного срока на подачу ходатайства о восстановлении срока для пересмотра судебного акта по вновь открывшимся обстоятельствам, поэтому возвратил заявление в силу статей 312, 315 Арбитражного процессуального кодекса Российской Федерации. Исчисление срока со дня ознакомления с судебным актом кассационного суда общей юрисдикции является ошибочным.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Кувакину Дмитрию Григорьевичу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