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04.05.2023, оставленным без изменения постановлением Пятнадцатого арбитражного апелляционного суда от 28.06.2023 и постановлением Арбитражного суда Северо-Кавказского округа от 20.09.2023, в удовлетворении заявления отказано в связи с истечением срока исковой давности, о применении которой заявил финансовый управляющий. В кассационной жалобе заявители просят об отмене судебных актов, ссылаясь на отсутствие оценки доказательств, нерассмотрение ходатайства о восстановлении срока исковой давности, неправильную оценку договора инвестирования.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срок исполнения обязательства, на котором основано требование заявителей, наступил в 2014 году, о чем знал или должен был знать участник этого обязательства – наследодатель, правопреемниками которого являются заявители. Установив, что на момент подачи заявления срок исковой давности истек, суды, руководствуясь статьями 195, 196, 199, 200 Гражданского кодекса Российской Федерации, отказали в удовлетворении требования, указав при этом мотивы, в связи с которыми требование не подлежит удовлетворению и по существу. Применение исковой давности по заявлению противной стороны с одновременным признанием необоснованности требования означает отсутствие основания для восстановлении заявителям срока исковой давности.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Чащиной Галине Сергеевне, Чащиной Алисе Сергеевне, Чащиной Виктории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