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31.03.2023, оставленным без изменения постановлением Девятого арбитражного апелляционного суда от 26.06.2023 и постановлением Арбитражного суда Московского округа от 06.09.2023, в удовлетворении заявлений отказано. В кассационной жалобе Анпилогов Н.В. просит об отмене судебных актов, ссылаясь на неправильную оценку обстоятельств заключения оспариваемых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проанализировали обстоятельства заключения должником спорных сделок купли-продажи недвижимости и установили отсутствие условий для признания их недействительными на основании общегражданских норм. Иная оценка заявителем обстоятельств спора, заложенная в доводах жалобы,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Анпилогову Н.В.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