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17.04.2023, оставленным без изменения постановлением Девятого арбитражного апелляционного суда от 28.06.2023 и постановлением Арбитражного суда Московского округа от 19.09.2023, в удовлетворении заявления отказано. В кассационной жалобе Комаров М.Ю. просит об отмене судебных актов, ссылаясь на неправильное распределение бремени доказывания отсутствия имущества при наличии сведений о его регистрации за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в подтверждение невозможности исполнения требования финансового управляющего о передаче транспортных средств руководствовались представленными должником доказательствами, которые оценены в соответствии с имеющейся компетенцией.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Комарову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