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18.05.2023 требование в размере 1 721 526 рублей 48 копеек признано обоснованным, включено в третью очередь реестра и учтено отдельно как подлежащее удовлетворению после погашения основной суммы задолженности и причитающихся процентов. Постановлением Тринадцатого арбитражного апелляционного суда от 24.08.2023, оставленным без изменения постановлением Арбитражного суда Северо-Западного округа от 07.11.2023, определение от 18.05.2023 отменено: заявление оставлено без рассмотрения на основании пункта 4 части 1 статьи 148 Арбитражного процессуального кодекса Российской Федерации. В кассационной жалобе общество просит отменить судебные акты апелляционного и окружного судов, ссылаясь на возможность выбора способа защиты права. 2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Оставление заявления без рассмотрения не исключает восстановления и защиты прав общества, поэтому обозначенные основания для пересмотра судебных актов отсутствуют.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«Институт Сибпроект»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