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30.03.2023, оставленным без изменения постановлением Первого арбитражного апелляционного суда 13.06.2023 и постановлением Арбитражного суда Волго-Вятского округа от 13.09.2023, заявление удовлетворено на сумму в 875 рублей. В кассационной жалобе Кузин А.В. просит о пересмотре судебных актов, ссылаясь на несоответствие выводов обстоятельствам дела и невыяснение значимых обстоятельств.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размер вознаграждения от денежной суммы, поступившей в конкурсную массу вследствие деятельности финансового управляющего, что соответствует пункту 17 статьи 20.6, пункту 5 статьи 213.27 Федерального закона от 26.10.2002 № 127-ФЗ «О несостоятельности (банкротстве)» и пункту 8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Кузину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