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Кемеровской области от 20.04.2023, оставленным без изменения постановлением Седьмого арбитражного апелляционного суда от 16.06.2023 и постановлением Арбитражного суда Западно-Сибирского округа от 11.10.2023, заявление удовлетворено. В кассационной жалобе ФИО1 просит об отмене судебных актов, ссылаясь на непротиворечие сделки закону и истечение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заключение безвозмездной сделки фактически аффилированными лицами в отношении ликвидного имущества в преддверии банкротства должника, создающее в силу пункта 2 статьи 61.2 Федерального закона от 26.10.2002 № 127-ФЗ «О несостоятельности (банкротстве)» условия для недействительности оспариваемого договора купли-продажи. Применение срока исковой давности в связи с заявлением ответчика не обсуждалось судами, поэтому связанный с ее сроком довод не подлежит оценке на стадии кассационного производства.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"Управление единого заказчика жилищно-коммунальных услуг города Ленинска-Кузнецкого" (подробнее) ПАО Банк "Финансовая Корпорация Открытие" (подробнее) Иные лица: Ассоциации "Урало-Сибирское объединение арбитражных управляющих"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