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07.03.2023, оставленным без изменения постановлением Восемнадцатого арбитражного апелляционного суда от 22.06.2023 и постановлением Арбитражного суда Уральского округа от 14.09.2023, иск удовлетворен. В кассационной жалобе Мартынова Н.Н. просит об отмене судебных актов, ссылаясь на недоказанность причинения убытков в заявленном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Доводы, связанные с размером требования, установленным судами согласно компетенции, не создают оснований для кассационного пересмотра судебных актов. В связи с отклонением жалобы ходатайство ответчика о приостановлении исполнения обжалуемых судебных актов удовлетворению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Мартыновой Н.Н.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